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67" w:rsidRPr="00CB6795" w:rsidRDefault="00E62067" w:rsidP="00E62067">
      <w:pPr>
        <w:pStyle w:val="Ttulo"/>
        <w:rPr>
          <w:sz w:val="28"/>
          <w:szCs w:val="22"/>
          <w:lang w:val="es-NI"/>
        </w:rPr>
      </w:pPr>
      <w:r w:rsidRPr="00CB6795">
        <w:rPr>
          <w:sz w:val="28"/>
          <w:szCs w:val="22"/>
          <w:lang w:val="es-NI"/>
        </w:rPr>
        <w:t>Ministerio de Hacienda y Crédito Público</w:t>
      </w:r>
    </w:p>
    <w:p w:rsidR="00E62067" w:rsidRPr="00CB6795" w:rsidRDefault="00E62067" w:rsidP="00E62067">
      <w:pPr>
        <w:pStyle w:val="Ttulo"/>
        <w:rPr>
          <w:sz w:val="28"/>
          <w:szCs w:val="22"/>
        </w:rPr>
      </w:pPr>
      <w:r w:rsidRPr="00CB6795">
        <w:rPr>
          <w:sz w:val="28"/>
          <w:szCs w:val="22"/>
        </w:rPr>
        <w:t>Dirección General de Inversión Pública</w:t>
      </w:r>
    </w:p>
    <w:p w:rsidR="00E62067" w:rsidRPr="00CB6795" w:rsidRDefault="00E62067" w:rsidP="00E62067">
      <w:pPr>
        <w:pStyle w:val="Ttulo"/>
        <w:rPr>
          <w:sz w:val="28"/>
          <w:szCs w:val="22"/>
        </w:rPr>
      </w:pPr>
      <w:r w:rsidRPr="00CB6795">
        <w:rPr>
          <w:sz w:val="28"/>
          <w:szCs w:val="22"/>
        </w:rPr>
        <w:t>Dirección de Preinversión</w:t>
      </w:r>
    </w:p>
    <w:p w:rsidR="00E62067" w:rsidRPr="00CB6795" w:rsidRDefault="00E62067" w:rsidP="00E62067">
      <w:pPr>
        <w:pStyle w:val="Ttulo"/>
        <w:rPr>
          <w:sz w:val="28"/>
          <w:szCs w:val="22"/>
        </w:rPr>
      </w:pPr>
    </w:p>
    <w:p w:rsidR="00E62067" w:rsidRPr="00CB6795" w:rsidRDefault="00E62067" w:rsidP="00E62067">
      <w:pPr>
        <w:pStyle w:val="Ttulo"/>
        <w:rPr>
          <w:color w:val="44546A" w:themeColor="text2"/>
          <w:szCs w:val="22"/>
        </w:rPr>
      </w:pPr>
      <w:r w:rsidRPr="00CB6795">
        <w:rPr>
          <w:color w:val="44546A" w:themeColor="text2"/>
          <w:szCs w:val="22"/>
        </w:rPr>
        <w:t>Seminario Perfiles de Proyecto</w:t>
      </w:r>
    </w:p>
    <w:p w:rsidR="00E62067" w:rsidRPr="00CB6795" w:rsidRDefault="00E62067" w:rsidP="00E62067">
      <w:pPr>
        <w:pStyle w:val="Ttulo"/>
        <w:rPr>
          <w:color w:val="44546A" w:themeColor="text2"/>
          <w:szCs w:val="22"/>
        </w:rPr>
      </w:pPr>
      <w:r w:rsidRPr="00CB6795">
        <w:rPr>
          <w:color w:val="44546A" w:themeColor="text2"/>
          <w:szCs w:val="22"/>
        </w:rPr>
        <w:t xml:space="preserve">Viernes 31 de marzo, 2017 </w:t>
      </w:r>
    </w:p>
    <w:p w:rsidR="00E62067" w:rsidRPr="00CB6795" w:rsidRDefault="00E62067" w:rsidP="00E62067">
      <w:pPr>
        <w:pStyle w:val="Ttulo"/>
        <w:rPr>
          <w:rFonts w:asciiTheme="minorHAnsi" w:hAnsiTheme="minorHAnsi"/>
          <w:szCs w:val="22"/>
        </w:rPr>
      </w:pPr>
      <w:r w:rsidRPr="00CB6795">
        <w:rPr>
          <w:color w:val="44546A" w:themeColor="text2"/>
          <w:szCs w:val="22"/>
        </w:rPr>
        <w:t>Estudio de Casos</w:t>
      </w:r>
    </w:p>
    <w:p w:rsidR="00DD3BD7" w:rsidRDefault="00DD3BD7" w:rsidP="00DD3BD7">
      <w:pPr>
        <w:jc w:val="both"/>
        <w:rPr>
          <w:b/>
        </w:rPr>
      </w:pPr>
      <w:r>
        <w:rPr>
          <w:b/>
        </w:rPr>
        <w:pict>
          <v:rect id="_x0000_i1025" style="width:0;height:1.5pt" o:hralign="center" o:hrstd="t" o:hr="t" fillcolor="#a0a0a0" stroked="f"/>
        </w:pict>
      </w:r>
    </w:p>
    <w:p w:rsidR="005A3656" w:rsidRPr="00DD3BD7" w:rsidRDefault="00DD3BD7" w:rsidP="00DD3BD7">
      <w:pPr>
        <w:jc w:val="both"/>
        <w:rPr>
          <w:b/>
        </w:rPr>
      </w:pPr>
      <w:r>
        <w:rPr>
          <w:b/>
        </w:rPr>
        <w:t xml:space="preserve">Sector Salud: </w:t>
      </w:r>
      <w:r w:rsidRPr="00DD3BD7">
        <w:rPr>
          <w:b/>
          <w:i/>
        </w:rPr>
        <w:t>Centro de Salud en Somoto</w:t>
      </w:r>
    </w:p>
    <w:p w:rsidR="005A3656" w:rsidRPr="00F36EDB" w:rsidRDefault="005A3656" w:rsidP="00933E5E">
      <w:pPr>
        <w:jc w:val="both"/>
        <w:rPr>
          <w:rFonts w:ascii="Calisto MT" w:hAnsi="Calisto MT" w:cs="David"/>
        </w:rPr>
      </w:pPr>
      <w:r w:rsidRPr="00F36EDB">
        <w:t xml:space="preserve">El </w:t>
      </w:r>
      <w:r w:rsidR="00847FCD" w:rsidRPr="00F36EDB">
        <w:t>departamento de Madriz</w:t>
      </w:r>
      <w:r w:rsidRPr="00F36EDB">
        <w:t xml:space="preserve"> presenta carencias en diversos factores socioeconómicos. La cabecera departamental</w:t>
      </w:r>
      <w:r w:rsidR="00847FCD" w:rsidRPr="00F36EDB">
        <w:t xml:space="preserve"> es Somoto,</w:t>
      </w:r>
      <w:r w:rsidRPr="00F36EDB">
        <w:t xml:space="preserve"> </w:t>
      </w:r>
      <w:r w:rsidR="000D4EDA" w:rsidRPr="00F36EDB">
        <w:t xml:space="preserve">es </w:t>
      </w:r>
      <w:r w:rsidRPr="00F36EDB">
        <w:t>una ciudad con un reciente auge turístico debido a su atractivo en el Cañón de Somoto</w:t>
      </w:r>
      <w:r w:rsidR="00331E7F" w:rsidRPr="00F36EDB">
        <w:t xml:space="preserve">, el cual es </w:t>
      </w:r>
      <w:r w:rsidRPr="00F36EDB">
        <w:t>alternativa de desarrollo</w:t>
      </w:r>
      <w:r w:rsidR="00331E7F" w:rsidRPr="00F36EDB">
        <w:t xml:space="preserve"> para los pobladores del departamento,</w:t>
      </w:r>
      <w:r w:rsidRPr="00F36EDB">
        <w:t xml:space="preserve"> donde se encuentran alternativas de trabajo como </w:t>
      </w:r>
      <w:r w:rsidR="00933E5E" w:rsidRPr="00F36EDB">
        <w:t>guía turística</w:t>
      </w:r>
      <w:r w:rsidRPr="00F36EDB">
        <w:t>, taxistas, recorridos, hoteles, restaurantes, tiendas de conveniencia, ga</w:t>
      </w:r>
      <w:bookmarkStart w:id="0" w:name="_GoBack"/>
      <w:bookmarkEnd w:id="0"/>
      <w:r w:rsidRPr="00F36EDB">
        <w:t>solineras, entre</w:t>
      </w:r>
      <w:r w:rsidR="00331E7F" w:rsidRPr="00F36EDB">
        <w:t xml:space="preserve"> otros negocios</w:t>
      </w:r>
      <w:r w:rsidRPr="00F36EDB">
        <w:t xml:space="preserve">. </w:t>
      </w:r>
    </w:p>
    <w:p w:rsidR="005A3656" w:rsidRPr="00F36EDB" w:rsidRDefault="00933E5E" w:rsidP="00933E5E">
      <w:pPr>
        <w:jc w:val="both"/>
      </w:pPr>
      <w:r w:rsidRPr="00F36EDB">
        <w:t>La región tiene un clima tropical, donde las épocas de verano tienen una buena cantidad de lluvia, mientras que los inviernos tienen muy poco. En algunas ocasiones la temperatura llega a 30°C, mientras que en invierno la temperatura desciende hasta 19°C. Las lluvias aparecen sobre todo en el período de verano, sin embargo, los últimos años con el fenómeno del niño, el municipio se ha visto afectado por la sequía.</w:t>
      </w:r>
    </w:p>
    <w:p w:rsidR="000526EF" w:rsidRPr="00F36EDB" w:rsidRDefault="00933E5E" w:rsidP="00C917F0">
      <w:pPr>
        <w:jc w:val="both"/>
        <w:rPr>
          <w:rFonts w:cs="Arial"/>
        </w:rPr>
      </w:pPr>
      <w:r w:rsidRPr="00F36EDB">
        <w:t>La actividad principal del municipio</w:t>
      </w:r>
      <w:r w:rsidR="00D37A19" w:rsidRPr="00F36EDB">
        <w:t xml:space="preserve"> de Somoto</w:t>
      </w:r>
      <w:r w:rsidRPr="00F36EDB">
        <w:t xml:space="preserve"> es la agricultura, </w:t>
      </w:r>
      <w:r w:rsidR="000D4EDA" w:rsidRPr="00F36EDB">
        <w:t>j</w:t>
      </w:r>
      <w:r w:rsidRPr="00F36EDB">
        <w:t xml:space="preserve">unto a la actividad agrícola </w:t>
      </w:r>
      <w:r w:rsidR="000D4EDA" w:rsidRPr="00F36EDB">
        <w:t xml:space="preserve">donde </w:t>
      </w:r>
      <w:r w:rsidRPr="00F36EDB">
        <w:t xml:space="preserve">existen fincas ganaderas dedicadas a la cría de vacuno, por lo que se tiene un matadero </w:t>
      </w:r>
      <w:r w:rsidR="008B5AA1" w:rsidRPr="00F36EDB">
        <w:t xml:space="preserve">y una fábrica de encurtidos. </w:t>
      </w:r>
      <w:r w:rsidRPr="00F36EDB">
        <w:t xml:space="preserve">Muchas familias poseen alguna pequeña parcela de tierra donde cultivan algunos productos para el autoconsumo (frijoles, maíz, hortalizas, etc.) y crían algunos animales; aves y cerdos especialmente. </w:t>
      </w:r>
      <w:r w:rsidR="00D37A19" w:rsidRPr="00F36EDB">
        <w:rPr>
          <w:rFonts w:cs="Arial"/>
        </w:rPr>
        <w:t>Somoto se encuentra conformada por 1,591 viviendas con 1,525 familias, constituidas con un promedio de 4 a 5 personas por familias. La poblaci</w:t>
      </w:r>
      <w:r w:rsidR="00C917F0" w:rsidRPr="00F36EDB">
        <w:rPr>
          <w:rFonts w:cs="Arial"/>
        </w:rPr>
        <w:t>ón total del departamento de Madriz</w:t>
      </w:r>
      <w:r w:rsidR="00D37A19" w:rsidRPr="00F36EDB">
        <w:rPr>
          <w:rFonts w:cs="Arial"/>
        </w:rPr>
        <w:t xml:space="preserve"> es </w:t>
      </w:r>
      <w:r w:rsidR="00C917F0" w:rsidRPr="00F36EDB">
        <w:rPr>
          <w:rFonts w:cs="Arial"/>
        </w:rPr>
        <w:t>166,226 personas, donde el 67% es Rural y el 33% en el casco urbano.</w:t>
      </w:r>
    </w:p>
    <w:p w:rsidR="00B77360" w:rsidRPr="00F36EDB" w:rsidRDefault="008B5AA1" w:rsidP="00B77360">
      <w:pPr>
        <w:jc w:val="center"/>
      </w:pPr>
      <w:r w:rsidRPr="00F36EDB">
        <w:rPr>
          <w:noProof/>
          <w:lang w:eastAsia="es-NI"/>
        </w:rPr>
        <w:drawing>
          <wp:inline distT="0" distB="0" distL="0" distR="0" wp14:anchorId="59D95F72" wp14:editId="78B9D888">
            <wp:extent cx="3453103" cy="1979875"/>
            <wp:effectExtent l="0" t="0" r="14605"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5AA1" w:rsidRPr="00F36EDB" w:rsidRDefault="00933E5E" w:rsidP="00847FCD">
      <w:pPr>
        <w:jc w:val="both"/>
      </w:pPr>
      <w:r w:rsidRPr="00F36EDB">
        <w:t>Las mujeres suelen tener una par</w:t>
      </w:r>
      <w:r w:rsidR="000E2BB7" w:rsidRPr="00F36EDB">
        <w:t>ticipación muy destacada para la</w:t>
      </w:r>
      <w:r w:rsidRPr="00F36EDB">
        <w:t xml:space="preserve"> producción doméstica y</w:t>
      </w:r>
      <w:r w:rsidR="000E2BB7" w:rsidRPr="00F36EDB">
        <w:t xml:space="preserve"> algunos casos de mujeres emprendedoras beneficiadas</w:t>
      </w:r>
      <w:r w:rsidR="000526EF" w:rsidRPr="00F36EDB">
        <w:t xml:space="preserve"> por proyectos sociales,</w:t>
      </w:r>
      <w:r w:rsidR="000E2BB7" w:rsidRPr="00F36EDB">
        <w:t xml:space="preserve"> inician negocios </w:t>
      </w:r>
      <w:r w:rsidR="000526EF" w:rsidRPr="00F36EDB">
        <w:t xml:space="preserve">tales </w:t>
      </w:r>
      <w:r w:rsidR="000E2BB7" w:rsidRPr="00F36EDB">
        <w:t xml:space="preserve">como </w:t>
      </w:r>
      <w:r w:rsidR="000E2BB7" w:rsidRPr="00F36EDB">
        <w:lastRenderedPageBreak/>
        <w:t>tortillerías, comedores, ventas de dulces y rosquillas, hostales, entre</w:t>
      </w:r>
      <w:r w:rsidR="00D37A19" w:rsidRPr="00F36EDB">
        <w:t xml:space="preserve"> otras actividades productivas</w:t>
      </w:r>
      <w:r w:rsidR="008F27B6" w:rsidRPr="00F36EDB">
        <w:rPr>
          <w:rFonts w:cs="Arial"/>
        </w:rPr>
        <w:t>.</w:t>
      </w:r>
      <w:r w:rsidR="008F27B6" w:rsidRPr="00F36EDB">
        <w:t xml:space="preserve"> </w:t>
      </w:r>
      <w:r w:rsidR="000E2BB7" w:rsidRPr="00F36EDB">
        <w:t xml:space="preserve">Cabe señalar que </w:t>
      </w:r>
      <w:r w:rsidR="00F36EDB" w:rsidRPr="00F36EDB">
        <w:t>estas</w:t>
      </w:r>
      <w:r w:rsidR="000E2BB7" w:rsidRPr="00F36EDB">
        <w:t xml:space="preserve"> mujeres se encargan del cuido del hogar donde son familias numerosas, siendo los niños </w:t>
      </w:r>
      <w:r w:rsidRPr="00F36EDB">
        <w:t>colabora</w:t>
      </w:r>
      <w:r w:rsidR="000E2BB7" w:rsidRPr="00F36EDB">
        <w:t>dores</w:t>
      </w:r>
      <w:r w:rsidRPr="00F36EDB">
        <w:t xml:space="preserve"> en las tareas domésticas y </w:t>
      </w:r>
      <w:r w:rsidR="000E2BB7" w:rsidRPr="00F36EDB">
        <w:t>por ende</w:t>
      </w:r>
      <w:r w:rsidR="008F27B6" w:rsidRPr="00F36EDB">
        <w:t>,</w:t>
      </w:r>
      <w:r w:rsidR="000E2BB7" w:rsidRPr="00F36EDB">
        <w:t xml:space="preserve"> </w:t>
      </w:r>
      <w:r w:rsidRPr="00F36EDB">
        <w:t xml:space="preserve">asisten </w:t>
      </w:r>
      <w:r w:rsidR="000526EF" w:rsidRPr="00F36EDB">
        <w:t>de forma irregular a la escuela</w:t>
      </w:r>
      <w:r w:rsidR="00D11C5C" w:rsidRPr="00F36EDB">
        <w:t xml:space="preserve">, apenas el </w:t>
      </w:r>
      <w:r w:rsidR="008B5AA1" w:rsidRPr="00F36EDB">
        <w:t>15</w:t>
      </w:r>
      <w:r w:rsidR="00D11C5C" w:rsidRPr="00F36EDB">
        <w:t>% de la población</w:t>
      </w:r>
      <w:r w:rsidR="00C917F0" w:rsidRPr="00F36EDB">
        <w:t xml:space="preserve"> de Somoto</w:t>
      </w:r>
      <w:r w:rsidR="00D11C5C" w:rsidRPr="00F36EDB">
        <w:t xml:space="preserve"> se encuentra matr</w:t>
      </w:r>
      <w:r w:rsidR="00B77360" w:rsidRPr="00F36EDB">
        <w:t xml:space="preserve">iculada en educación preescolar. </w:t>
      </w:r>
    </w:p>
    <w:tbl>
      <w:tblPr>
        <w:tblStyle w:val="Tabladecuadrcula1clara"/>
        <w:tblW w:w="5880" w:type="dxa"/>
        <w:jc w:val="center"/>
        <w:tblLook w:val="04A0" w:firstRow="1" w:lastRow="0" w:firstColumn="1" w:lastColumn="0" w:noHBand="0" w:noVBand="1"/>
      </w:tblPr>
      <w:tblGrid>
        <w:gridCol w:w="974"/>
        <w:gridCol w:w="1289"/>
        <w:gridCol w:w="1056"/>
        <w:gridCol w:w="1361"/>
        <w:gridCol w:w="1200"/>
      </w:tblGrid>
      <w:tr w:rsidR="00B77360" w:rsidRPr="00F36EDB" w:rsidTr="00B7736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80" w:type="dxa"/>
            <w:gridSpan w:val="4"/>
            <w:noWrap/>
            <w:hideMark/>
          </w:tcPr>
          <w:p w:rsidR="008B5AA1" w:rsidRPr="00F36EDB" w:rsidRDefault="008B5AA1" w:rsidP="008B5AA1">
            <w:pPr>
              <w:rPr>
                <w:rFonts w:ascii="Calibri" w:eastAsia="Times New Roman" w:hAnsi="Calibri" w:cs="Times New Roman"/>
                <w:lang w:eastAsia="es-NI"/>
              </w:rPr>
            </w:pPr>
            <w:r w:rsidRPr="00F36EDB">
              <w:rPr>
                <w:rFonts w:ascii="Calibri" w:eastAsia="Times New Roman" w:hAnsi="Calibri" w:cs="Times New Roman"/>
                <w:lang w:eastAsia="es-NI"/>
              </w:rPr>
              <w:t>Matricula inicial por Niveles educativos y sexo</w:t>
            </w:r>
          </w:p>
        </w:tc>
        <w:tc>
          <w:tcPr>
            <w:tcW w:w="1200" w:type="dxa"/>
            <w:noWrap/>
            <w:hideMark/>
          </w:tcPr>
          <w:p w:rsidR="008B5AA1" w:rsidRPr="00F36EDB" w:rsidRDefault="008B5AA1" w:rsidP="008B5AA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p>
        </w:tc>
      </w:tr>
      <w:tr w:rsidR="00B77360" w:rsidRPr="00F36EDB" w:rsidTr="00B77360">
        <w:trPr>
          <w:trHeight w:val="300"/>
          <w:jc w:val="center"/>
        </w:trPr>
        <w:tc>
          <w:tcPr>
            <w:cnfStyle w:val="001000000000" w:firstRow="0" w:lastRow="0" w:firstColumn="1" w:lastColumn="0" w:oddVBand="0" w:evenVBand="0" w:oddHBand="0" w:evenHBand="0" w:firstRowFirstColumn="0" w:firstRowLastColumn="0" w:lastRowFirstColumn="0" w:lastRowLastColumn="0"/>
            <w:tcW w:w="974" w:type="dxa"/>
            <w:noWrap/>
            <w:hideMark/>
          </w:tcPr>
          <w:p w:rsidR="008B5AA1" w:rsidRPr="00F36EDB" w:rsidRDefault="008B5AA1" w:rsidP="008B5AA1">
            <w:pPr>
              <w:rPr>
                <w:rFonts w:ascii="Times New Roman" w:eastAsia="Times New Roman" w:hAnsi="Times New Roman" w:cs="Times New Roman"/>
                <w:lang w:eastAsia="es-NI"/>
              </w:rPr>
            </w:pPr>
          </w:p>
        </w:tc>
        <w:tc>
          <w:tcPr>
            <w:tcW w:w="1289"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s-NI"/>
              </w:rPr>
            </w:pPr>
            <w:r w:rsidRPr="00F36EDB">
              <w:rPr>
                <w:rFonts w:ascii="Calibri" w:eastAsia="Times New Roman" w:hAnsi="Calibri" w:cs="Times New Roman"/>
                <w:b/>
                <w:bCs/>
                <w:lang w:eastAsia="es-NI"/>
              </w:rPr>
              <w:t>Preescolar</w:t>
            </w:r>
          </w:p>
        </w:tc>
        <w:tc>
          <w:tcPr>
            <w:tcW w:w="1056"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s-NI"/>
              </w:rPr>
            </w:pPr>
            <w:r w:rsidRPr="00F36EDB">
              <w:rPr>
                <w:rFonts w:ascii="Calibri" w:eastAsia="Times New Roman" w:hAnsi="Calibri" w:cs="Times New Roman"/>
                <w:b/>
                <w:bCs/>
                <w:lang w:eastAsia="es-NI"/>
              </w:rPr>
              <w:t>Primaria</w:t>
            </w:r>
          </w:p>
        </w:tc>
        <w:tc>
          <w:tcPr>
            <w:tcW w:w="1361"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s-NI"/>
              </w:rPr>
            </w:pPr>
            <w:r w:rsidRPr="00F36EDB">
              <w:rPr>
                <w:rFonts w:ascii="Calibri" w:eastAsia="Times New Roman" w:hAnsi="Calibri" w:cs="Times New Roman"/>
                <w:b/>
                <w:bCs/>
                <w:lang w:eastAsia="es-NI"/>
              </w:rPr>
              <w:t>Secundaria</w:t>
            </w:r>
          </w:p>
        </w:tc>
        <w:tc>
          <w:tcPr>
            <w:tcW w:w="1200"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lang w:eastAsia="es-NI"/>
              </w:rPr>
            </w:pPr>
            <w:r w:rsidRPr="00F36EDB">
              <w:rPr>
                <w:rFonts w:ascii="Calibri" w:eastAsia="Times New Roman" w:hAnsi="Calibri" w:cs="Times New Roman"/>
                <w:b/>
                <w:bCs/>
                <w:lang w:eastAsia="es-NI"/>
              </w:rPr>
              <w:t>Total</w:t>
            </w:r>
          </w:p>
        </w:tc>
      </w:tr>
      <w:tr w:rsidR="00B77360" w:rsidRPr="00F36EDB" w:rsidTr="00B77360">
        <w:trPr>
          <w:trHeight w:val="300"/>
          <w:jc w:val="center"/>
        </w:trPr>
        <w:tc>
          <w:tcPr>
            <w:cnfStyle w:val="001000000000" w:firstRow="0" w:lastRow="0" w:firstColumn="1" w:lastColumn="0" w:oddVBand="0" w:evenVBand="0" w:oddHBand="0" w:evenHBand="0" w:firstRowFirstColumn="0" w:firstRowLastColumn="0" w:lastRowFirstColumn="0" w:lastRowLastColumn="0"/>
            <w:tcW w:w="974" w:type="dxa"/>
            <w:noWrap/>
            <w:hideMark/>
          </w:tcPr>
          <w:p w:rsidR="008B5AA1" w:rsidRPr="00F36EDB" w:rsidRDefault="008B5AA1" w:rsidP="008B5AA1">
            <w:pPr>
              <w:rPr>
                <w:rFonts w:ascii="Calibri" w:eastAsia="Times New Roman" w:hAnsi="Calibri" w:cs="Times New Roman"/>
                <w:lang w:eastAsia="es-NI"/>
              </w:rPr>
            </w:pPr>
            <w:r w:rsidRPr="00F36EDB">
              <w:rPr>
                <w:rFonts w:ascii="Calibri" w:eastAsia="Times New Roman" w:hAnsi="Calibri" w:cs="Times New Roman"/>
                <w:lang w:eastAsia="es-NI"/>
              </w:rPr>
              <w:t>Madriz</w:t>
            </w:r>
          </w:p>
        </w:tc>
        <w:tc>
          <w:tcPr>
            <w:tcW w:w="1289"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7,413</w:t>
            </w:r>
          </w:p>
        </w:tc>
        <w:tc>
          <w:tcPr>
            <w:tcW w:w="1056" w:type="dxa"/>
            <w:noWrap/>
            <w:hideMark/>
          </w:tcPr>
          <w:p w:rsidR="008B5AA1" w:rsidRPr="00F36EDB" w:rsidRDefault="008B5AA1" w:rsidP="008B5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21,522</w:t>
            </w:r>
          </w:p>
        </w:tc>
        <w:tc>
          <w:tcPr>
            <w:tcW w:w="1361" w:type="dxa"/>
            <w:noWrap/>
            <w:hideMark/>
          </w:tcPr>
          <w:p w:rsidR="008B5AA1" w:rsidRPr="00F36EDB" w:rsidRDefault="008B5AA1" w:rsidP="008B5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12,071</w:t>
            </w:r>
          </w:p>
        </w:tc>
        <w:tc>
          <w:tcPr>
            <w:tcW w:w="1200" w:type="dxa"/>
            <w:noWrap/>
            <w:hideMark/>
          </w:tcPr>
          <w:p w:rsidR="008B5AA1" w:rsidRPr="00F36EDB" w:rsidRDefault="008B5AA1" w:rsidP="008B5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41,006</w:t>
            </w:r>
          </w:p>
        </w:tc>
      </w:tr>
      <w:tr w:rsidR="00B77360" w:rsidRPr="00F36EDB" w:rsidTr="00B77360">
        <w:trPr>
          <w:trHeight w:val="300"/>
          <w:jc w:val="center"/>
        </w:trPr>
        <w:tc>
          <w:tcPr>
            <w:cnfStyle w:val="001000000000" w:firstRow="0" w:lastRow="0" w:firstColumn="1" w:lastColumn="0" w:oddVBand="0" w:evenVBand="0" w:oddHBand="0" w:evenHBand="0" w:firstRowFirstColumn="0" w:firstRowLastColumn="0" w:lastRowFirstColumn="0" w:lastRowLastColumn="0"/>
            <w:tcW w:w="974" w:type="dxa"/>
            <w:noWrap/>
            <w:hideMark/>
          </w:tcPr>
          <w:p w:rsidR="008B5AA1" w:rsidRPr="00F36EDB" w:rsidRDefault="008B5AA1" w:rsidP="008B5AA1">
            <w:pPr>
              <w:rPr>
                <w:rFonts w:ascii="Calibri" w:eastAsia="Times New Roman" w:hAnsi="Calibri" w:cs="Times New Roman"/>
                <w:lang w:eastAsia="es-NI"/>
              </w:rPr>
            </w:pPr>
            <w:r w:rsidRPr="00F36EDB">
              <w:rPr>
                <w:rFonts w:ascii="Calibri" w:eastAsia="Times New Roman" w:hAnsi="Calibri" w:cs="Times New Roman"/>
                <w:lang w:eastAsia="es-NI"/>
              </w:rPr>
              <w:t>Somoto</w:t>
            </w:r>
          </w:p>
        </w:tc>
        <w:tc>
          <w:tcPr>
            <w:tcW w:w="1289"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1,518</w:t>
            </w:r>
          </w:p>
        </w:tc>
        <w:tc>
          <w:tcPr>
            <w:tcW w:w="1056" w:type="dxa"/>
            <w:noWrap/>
            <w:hideMark/>
          </w:tcPr>
          <w:p w:rsidR="008B5AA1" w:rsidRPr="00F36EDB" w:rsidRDefault="008B5AA1" w:rsidP="008B5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4,607</w:t>
            </w:r>
          </w:p>
        </w:tc>
        <w:tc>
          <w:tcPr>
            <w:tcW w:w="1361" w:type="dxa"/>
            <w:noWrap/>
            <w:hideMark/>
          </w:tcPr>
          <w:p w:rsidR="008B5AA1" w:rsidRPr="00F36EDB" w:rsidRDefault="008B5AA1" w:rsidP="008B5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3,705</w:t>
            </w:r>
          </w:p>
        </w:tc>
        <w:tc>
          <w:tcPr>
            <w:tcW w:w="1200" w:type="dxa"/>
            <w:noWrap/>
            <w:hideMark/>
          </w:tcPr>
          <w:p w:rsidR="008B5AA1" w:rsidRPr="00F36EDB" w:rsidRDefault="008B5AA1" w:rsidP="008B5AA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9,830</w:t>
            </w:r>
          </w:p>
        </w:tc>
      </w:tr>
      <w:tr w:rsidR="00B77360" w:rsidRPr="00F36EDB" w:rsidTr="00B77360">
        <w:trPr>
          <w:trHeight w:val="300"/>
          <w:jc w:val="center"/>
        </w:trPr>
        <w:tc>
          <w:tcPr>
            <w:cnfStyle w:val="001000000000" w:firstRow="0" w:lastRow="0" w:firstColumn="1" w:lastColumn="0" w:oddVBand="0" w:evenVBand="0" w:oddHBand="0" w:evenHBand="0" w:firstRowFirstColumn="0" w:firstRowLastColumn="0" w:lastRowFirstColumn="0" w:lastRowLastColumn="0"/>
            <w:tcW w:w="974" w:type="dxa"/>
            <w:noWrap/>
            <w:hideMark/>
          </w:tcPr>
          <w:p w:rsidR="008B5AA1" w:rsidRPr="00F36EDB" w:rsidRDefault="008B5AA1" w:rsidP="008B5AA1">
            <w:pPr>
              <w:rPr>
                <w:rFonts w:ascii="Calibri" w:eastAsia="Times New Roman" w:hAnsi="Calibri" w:cs="Times New Roman"/>
                <w:lang w:eastAsia="es-NI"/>
              </w:rPr>
            </w:pPr>
            <w:r w:rsidRPr="00F36EDB">
              <w:rPr>
                <w:rFonts w:ascii="Calibri" w:eastAsia="Times New Roman" w:hAnsi="Calibri" w:cs="Times New Roman"/>
                <w:lang w:eastAsia="es-NI"/>
              </w:rPr>
              <w:t>%</w:t>
            </w:r>
          </w:p>
        </w:tc>
        <w:tc>
          <w:tcPr>
            <w:tcW w:w="1289"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15.4</w:t>
            </w:r>
          </w:p>
        </w:tc>
        <w:tc>
          <w:tcPr>
            <w:tcW w:w="1056"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46.9</w:t>
            </w:r>
          </w:p>
        </w:tc>
        <w:tc>
          <w:tcPr>
            <w:tcW w:w="1361"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37.7</w:t>
            </w:r>
          </w:p>
        </w:tc>
        <w:tc>
          <w:tcPr>
            <w:tcW w:w="1200" w:type="dxa"/>
            <w:noWrap/>
            <w:hideMark/>
          </w:tcPr>
          <w:p w:rsidR="008B5AA1" w:rsidRPr="00F36EDB" w:rsidRDefault="008B5AA1" w:rsidP="008B5A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s-NI"/>
              </w:rPr>
            </w:pPr>
            <w:r w:rsidRPr="00F36EDB">
              <w:rPr>
                <w:rFonts w:ascii="Calibri" w:eastAsia="Times New Roman" w:hAnsi="Calibri" w:cs="Times New Roman"/>
                <w:lang w:eastAsia="es-NI"/>
              </w:rPr>
              <w:t>100.0</w:t>
            </w:r>
          </w:p>
        </w:tc>
      </w:tr>
    </w:tbl>
    <w:p w:rsidR="000526EF" w:rsidRPr="00F36EDB" w:rsidRDefault="000526EF" w:rsidP="00847FCD">
      <w:pPr>
        <w:jc w:val="both"/>
      </w:pPr>
    </w:p>
    <w:p w:rsidR="008B0A37" w:rsidRPr="00F36EDB" w:rsidRDefault="00847FCD" w:rsidP="00B77360">
      <w:pPr>
        <w:jc w:val="both"/>
      </w:pPr>
      <w:r w:rsidRPr="00F36EDB">
        <w:t xml:space="preserve">En los últimos años, algunos informes de los servicios de salud han detectado un </w:t>
      </w:r>
      <w:r w:rsidRPr="00F36EDB">
        <w:rPr>
          <w:b/>
        </w:rPr>
        <w:t xml:space="preserve">aumento </w:t>
      </w:r>
      <w:r w:rsidRPr="00F36EDB">
        <w:t>significativo de la mortalidad infantil, provocado por la alta incidencia de las enfermedades infecciosas de transmisión hídrica</w:t>
      </w:r>
      <w:r w:rsidR="00046110" w:rsidRPr="00F36EDB">
        <w:t xml:space="preserve"> y las enfermedades diarreicas agudas</w:t>
      </w:r>
      <w:r w:rsidRPr="00F36EDB">
        <w:t xml:space="preserve">. El malestar causado por estos </w:t>
      </w:r>
      <w:r w:rsidR="00F36EDB" w:rsidRPr="00F36EDB">
        <w:t>problemas</w:t>
      </w:r>
      <w:r w:rsidRPr="00F36EDB">
        <w:t xml:space="preserve"> </w:t>
      </w:r>
      <w:r w:rsidR="007F56A6" w:rsidRPr="00F36EDB">
        <w:t>se manifiesta</w:t>
      </w:r>
      <w:r w:rsidR="00F97468" w:rsidRPr="00F36EDB">
        <w:t xml:space="preserve"> principalmente</w:t>
      </w:r>
      <w:r w:rsidR="007F56A6" w:rsidRPr="00F36EDB">
        <w:t xml:space="preserve"> en las comunidades campesina</w:t>
      </w:r>
      <w:r w:rsidR="00151116" w:rsidRPr="00F36EDB">
        <w:t>s.</w:t>
      </w:r>
    </w:p>
    <w:p w:rsidR="008B0A37" w:rsidRPr="00F36EDB" w:rsidRDefault="00B77360" w:rsidP="008B0A37">
      <w:pPr>
        <w:jc w:val="center"/>
      </w:pPr>
      <w:r w:rsidRPr="00F36EDB">
        <w:rPr>
          <w:noProof/>
          <w:lang w:eastAsia="es-NI"/>
        </w:rPr>
        <w:drawing>
          <wp:inline distT="0" distB="0" distL="0" distR="0" wp14:anchorId="2BE9AFF7" wp14:editId="71A7C625">
            <wp:extent cx="3673116" cy="2067339"/>
            <wp:effectExtent l="0" t="0" r="381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7FCD" w:rsidRPr="00F36EDB" w:rsidRDefault="00847FCD" w:rsidP="00847FCD">
      <w:pPr>
        <w:jc w:val="both"/>
      </w:pPr>
      <w:r w:rsidRPr="00F36EDB">
        <w:t xml:space="preserve">El manejo del agua para consumo humano en </w:t>
      </w:r>
      <w:r w:rsidR="00804241" w:rsidRPr="00F36EDB">
        <w:t xml:space="preserve">el municipio </w:t>
      </w:r>
      <w:r w:rsidRPr="00F36EDB">
        <w:t>es completamente inadecuado. No existe ninguna</w:t>
      </w:r>
      <w:r w:rsidR="00331E7F" w:rsidRPr="00F36EDB">
        <w:t xml:space="preserve"> red pública de abastecimiento </w:t>
      </w:r>
      <w:r w:rsidRPr="00F36EDB">
        <w:t>de agua y las mujeres y los niños suelen ser los encargados de ir a buscar el agua al río y a los pocos pozos que existen en la zona. Por lo que se ha observado, no tienen apenas nociones de las implicaciones sanitarias que representa el consumo de agua en malas condiciones y no se efectúa ninguna de las prácticas generalmente recomendadas; cocción de agua, uso de filtros, etc. Tampoco existen en las distintas escuelas programas específicos de educación para la salud. De todas formas, no es el desconocimiento</w:t>
      </w:r>
      <w:r w:rsidR="00331E7F" w:rsidRPr="00F36EDB">
        <w:t xml:space="preserve"> de la población las consecuencias </w:t>
      </w:r>
      <w:r w:rsidRPr="00F36EDB">
        <w:t>que provoca un mal manejo del agua. Las pésimas condiciones higiénicas</w:t>
      </w:r>
      <w:r w:rsidR="00331E7F" w:rsidRPr="00F36EDB">
        <w:t xml:space="preserve"> en la comunidad</w:t>
      </w:r>
      <w:r w:rsidRPr="00F36EDB">
        <w:t>, sin apenas</w:t>
      </w:r>
      <w:r w:rsidR="00331E7F" w:rsidRPr="00F36EDB">
        <w:t xml:space="preserve"> tener</w:t>
      </w:r>
      <w:r w:rsidRPr="00F36EDB">
        <w:t xml:space="preserve"> letrinas ni ningún otro tipo de infraestructura sanitaria, también contribuyen a esta situación.</w:t>
      </w:r>
    </w:p>
    <w:p w:rsidR="00046110" w:rsidRPr="00F36EDB" w:rsidRDefault="00151116" w:rsidP="00151116">
      <w:pPr>
        <w:jc w:val="both"/>
      </w:pPr>
      <w:r w:rsidRPr="00F36EDB">
        <w:t xml:space="preserve">También se encuentran en la zona vertederos incontrolados, debido a la escasez e insuficiencia de los servicios prestados por la municipalidad, que contribuyen significativamente a la contaminación </w:t>
      </w:r>
      <w:r w:rsidRPr="00F36EDB">
        <w:lastRenderedPageBreak/>
        <w:t>de las reservas subterráneas de agua. La población, por su parte, muestra una escasa educación referente al manejo de basuras dentro de sus hogares y negocios.</w:t>
      </w:r>
    </w:p>
    <w:p w:rsidR="00EC5CB6" w:rsidRPr="00F36EDB" w:rsidRDefault="00EC5CB6" w:rsidP="00EC5CB6">
      <w:pPr>
        <w:jc w:val="both"/>
      </w:pPr>
      <w:r w:rsidRPr="00F36EDB">
        <w:t>De acuerdo al modelo de salud familiar y comunitario que contempla la organización de los establecimientos de salud en redes, con complejidad diferenciada para responder de forma efectiva y eficiente a las necesidades de salud de la población, existen en el departamento de Madriz, 1 Hospital Departamental, 1 Hospital Primario, 8 Centros de Salud y 38 Puestos de Salud Familiar y Comunitarios. Sin embargo, la red hospitalaria no es suficiente para la demanda de la población para los servicios de Salud, encontrándose saturados los PSFC en las zonas rurales.</w:t>
      </w:r>
    </w:p>
    <w:p w:rsidR="00EC5CB6" w:rsidRPr="00F36EDB" w:rsidRDefault="000D4EDA" w:rsidP="000D4EDA">
      <w:pPr>
        <w:jc w:val="both"/>
      </w:pPr>
      <w:r w:rsidRPr="00F36EDB">
        <w:t xml:space="preserve">La primera constatación que se ha </w:t>
      </w:r>
      <w:r w:rsidR="00F36EDB" w:rsidRPr="00F36EDB">
        <w:t>efectuado</w:t>
      </w:r>
      <w:r w:rsidRPr="00F36EDB">
        <w:t xml:space="preserve"> es que los servicios </w:t>
      </w:r>
      <w:r w:rsidR="00F36EDB" w:rsidRPr="00F36EDB">
        <w:t>médico-sanitarios</w:t>
      </w:r>
      <w:r w:rsidRPr="00F36EDB">
        <w:t xml:space="preserve"> se prestan de una manera muy deficiente y desarrollan una actividad exclusivamente curativa. El único Centro de Salud del </w:t>
      </w:r>
      <w:r w:rsidR="00EC5CB6" w:rsidRPr="00F36EDB">
        <w:t xml:space="preserve">municipio de Somoto </w:t>
      </w:r>
      <w:r w:rsidR="00151116" w:rsidRPr="00F36EDB">
        <w:t>tiene</w:t>
      </w:r>
      <w:r w:rsidRPr="00F36EDB">
        <w:t xml:space="preserve"> una infraestructura que no reúne </w:t>
      </w:r>
      <w:r w:rsidR="00151116" w:rsidRPr="00F36EDB">
        <w:t>las condiciones necesarias</w:t>
      </w:r>
      <w:r w:rsidRPr="00F36EDB">
        <w:t xml:space="preserve"> para la capacidad de almacenamiento </w:t>
      </w:r>
      <w:r w:rsidR="00EC5CB6" w:rsidRPr="00F36EDB">
        <w:t xml:space="preserve">del </w:t>
      </w:r>
      <w:r w:rsidRPr="00F36EDB">
        <w:t>medicamento</w:t>
      </w:r>
      <w:r w:rsidR="00151116" w:rsidRPr="00F36EDB">
        <w:t xml:space="preserve"> y resguardo de los equipos</w:t>
      </w:r>
      <w:r w:rsidRPr="00F36EDB">
        <w:t xml:space="preserve">. El equipamiento básico y la medicina, se encuentra en mal estado y con fechas vencidas, debido a que no existe espacios para su resguardo y el material de reposición se realiza cada 4 meses. </w:t>
      </w:r>
    </w:p>
    <w:p w:rsidR="00A23CAE" w:rsidRPr="00F36EDB" w:rsidRDefault="00151116" w:rsidP="00A23CAE">
      <w:pPr>
        <w:jc w:val="both"/>
      </w:pPr>
      <w:r w:rsidRPr="00F36EDB">
        <w:t xml:space="preserve">El centro de salud </w:t>
      </w:r>
      <w:r w:rsidR="00A23CAE" w:rsidRPr="00F36EDB">
        <w:t xml:space="preserve">del municipio de </w:t>
      </w:r>
      <w:r w:rsidR="00F36EDB" w:rsidRPr="00F36EDB">
        <w:t>Somoto</w:t>
      </w:r>
      <w:r w:rsidR="00A23CAE" w:rsidRPr="00F36EDB">
        <w:t xml:space="preserve"> </w:t>
      </w:r>
      <w:r w:rsidRPr="00F36EDB">
        <w:t xml:space="preserve">es atendido únicamente por </w:t>
      </w:r>
      <w:r w:rsidR="00A23CAE" w:rsidRPr="00F36EDB">
        <w:t>1 médico y 1 enfermera, con horario extendido de 8am a 2pm</w:t>
      </w:r>
      <w:r w:rsidR="00DD1E75" w:rsidRPr="00F36EDB">
        <w:t>. C</w:t>
      </w:r>
      <w:r w:rsidR="00A23CAE" w:rsidRPr="00F36EDB">
        <w:t>onforme el Manual de Procedimientos del MINSA se debe atender 4 pacientes por hora, es decir un total de 20 pacientes; sin embargo, la unidad de salud puede llegar ate</w:t>
      </w:r>
      <w:r w:rsidR="00DD1E75" w:rsidRPr="00F36EDB">
        <w:t xml:space="preserve">nder hasta 80 pacientes al día, debido que a este centro de Salud llegan pacientes remitidos por los PSFC de las comunidades de </w:t>
      </w:r>
      <w:proofErr w:type="spellStart"/>
      <w:r w:rsidR="00DD1E75" w:rsidRPr="00F36EDB">
        <w:t>Telpaneca</w:t>
      </w:r>
      <w:proofErr w:type="spellEnd"/>
      <w:r w:rsidR="00DD1E75" w:rsidRPr="00F36EDB">
        <w:t xml:space="preserve">, </w:t>
      </w:r>
      <w:proofErr w:type="spellStart"/>
      <w:r w:rsidR="00DD1E75" w:rsidRPr="00F36EDB">
        <w:t>Totogalpa</w:t>
      </w:r>
      <w:proofErr w:type="spellEnd"/>
      <w:r w:rsidR="00DD1E75" w:rsidRPr="00F36EDB">
        <w:t xml:space="preserve"> y San Lucas a realizarse ultrasonidos y consultas generales </w:t>
      </w:r>
      <w:r w:rsidR="00A23CAE" w:rsidRPr="00F36EDB">
        <w:t>Dicha situación pone en riesgo la calidad de la entrega del servicio, al tener un agotamiento por parte de los médicos, una atención poco personalizada y en las áreas comunes no existe espacio ni las condiciones para realizar la espera.</w:t>
      </w:r>
    </w:p>
    <w:p w:rsidR="00EC5CB6" w:rsidRPr="00F36EDB" w:rsidRDefault="00151116" w:rsidP="000D4EDA">
      <w:pPr>
        <w:jc w:val="both"/>
      </w:pPr>
      <w:r w:rsidRPr="00F36EDB">
        <w:t xml:space="preserve"> </w:t>
      </w:r>
      <w:r w:rsidR="00DD1E75" w:rsidRPr="00F36EDB">
        <w:t>La</w:t>
      </w:r>
      <w:r w:rsidR="00EC5CB6" w:rsidRPr="00F36EDB">
        <w:t xml:space="preserve"> población</w:t>
      </w:r>
      <w:r w:rsidR="00DD1E75" w:rsidRPr="00F36EDB">
        <w:t xml:space="preserve"> de </w:t>
      </w:r>
      <w:r w:rsidR="00F36EDB" w:rsidRPr="00F36EDB">
        <w:t>estas</w:t>
      </w:r>
      <w:r w:rsidR="00DD1E75" w:rsidRPr="00F36EDB">
        <w:t xml:space="preserve"> comunidades</w:t>
      </w:r>
      <w:r w:rsidR="00EC5CB6" w:rsidRPr="00F36EDB">
        <w:t xml:space="preserve"> recorre ciertas distancias en autobús por un costo de aproximadamente C$20 </w:t>
      </w:r>
      <w:r w:rsidR="00DD1E75" w:rsidRPr="00F36EDB">
        <w:t xml:space="preserve">el viaje, donde muchas veces los pacientes viajan con algún familiar para acompañarles. El autobús realiza un </w:t>
      </w:r>
      <w:r w:rsidR="00D37A19" w:rsidRPr="00F36EDB">
        <w:t xml:space="preserve">único </w:t>
      </w:r>
      <w:r w:rsidR="00DD1E75" w:rsidRPr="00F36EDB">
        <w:t>recorrido</w:t>
      </w:r>
      <w:r w:rsidR="00D37A19" w:rsidRPr="00F36EDB">
        <w:t xml:space="preserve"> de</w:t>
      </w:r>
      <w:r w:rsidR="00DD1E75" w:rsidRPr="00F36EDB">
        <w:t xml:space="preserve"> 5am </w:t>
      </w:r>
      <w:r w:rsidR="00D37A19" w:rsidRPr="00F36EDB">
        <w:t>y retorna</w:t>
      </w:r>
      <w:r w:rsidR="00DD1E75" w:rsidRPr="00F36EDB">
        <w:t xml:space="preserve"> a las 2pm</w:t>
      </w:r>
      <w:r w:rsidR="00D37A19" w:rsidRPr="00F36EDB">
        <w:t>, donde muchas veces la población pierde turno de asistencia, al tomar el único medio de transporte de la zona y regresar al día siguiente para su consulta.</w:t>
      </w:r>
    </w:p>
    <w:p w:rsidR="00EC5CB6" w:rsidRPr="00F36EDB" w:rsidRDefault="000D4EDA" w:rsidP="000D4EDA">
      <w:pPr>
        <w:jc w:val="both"/>
      </w:pPr>
      <w:r w:rsidRPr="00F36EDB">
        <w:t>Hay que señalar</w:t>
      </w:r>
      <w:r w:rsidR="00C917F0" w:rsidRPr="00F36EDB">
        <w:t>,</w:t>
      </w:r>
      <w:r w:rsidRPr="00F36EDB">
        <w:t xml:space="preserve"> que en el municipio</w:t>
      </w:r>
      <w:r w:rsidR="00D37A19" w:rsidRPr="00F36EDB">
        <w:t xml:space="preserve"> de Somoto </w:t>
      </w:r>
      <w:r w:rsidRPr="00F36EDB">
        <w:t xml:space="preserve">se localizan médicos que atienden consultas privadas, con mucha mejor cobertura sanitaria, aunque sus precios impiden que la población más necesitada pueda utilizar sus servicios. Aparte de estos servicios médicos institucionales, existe un número importante de curanderos que cumplen funciones sanitarias.  </w:t>
      </w:r>
    </w:p>
    <w:p w:rsidR="00A924F8" w:rsidRPr="00F36EDB" w:rsidRDefault="00AF3EDF" w:rsidP="00151116">
      <w:pPr>
        <w:jc w:val="both"/>
        <w:rPr>
          <w:rFonts w:eastAsia="Calibri" w:cs="Arial"/>
        </w:rPr>
      </w:pPr>
      <w:r w:rsidRPr="00F36EDB">
        <w:rPr>
          <w:rFonts w:eastAsia="Calibri" w:cs="Arial"/>
        </w:rPr>
        <w:t>En la actualidad muchas de las unidades de la red de salud carecen de espacios necesarios para almacenar y resguardar los insumos médicos y no médicos, los que son parte fundamental para cumplir con los lineamientos en salud y sobre todo</w:t>
      </w:r>
      <w:r w:rsidR="00BF4002" w:rsidRPr="00F36EDB">
        <w:rPr>
          <w:rFonts w:eastAsia="Calibri" w:cs="Arial"/>
        </w:rPr>
        <w:t xml:space="preserve"> por los programas de gobierno al</w:t>
      </w:r>
      <w:r w:rsidRPr="00F36EDB">
        <w:rPr>
          <w:rFonts w:eastAsia="Calibri" w:cs="Arial"/>
        </w:rPr>
        <w:t xml:space="preserve"> derecho a la salud gratuita, </w:t>
      </w:r>
      <w:r w:rsidR="00BF4002" w:rsidRPr="00F36EDB">
        <w:rPr>
          <w:rFonts w:eastAsia="Calibri" w:cs="Arial"/>
        </w:rPr>
        <w:t xml:space="preserve">donde </w:t>
      </w:r>
      <w:r w:rsidRPr="00F36EDB">
        <w:rPr>
          <w:rFonts w:eastAsia="Calibri" w:cs="Arial"/>
        </w:rPr>
        <w:t>dicha atención conlleva la atención médica y garantiza</w:t>
      </w:r>
      <w:r w:rsidR="00BF4002" w:rsidRPr="00F36EDB">
        <w:rPr>
          <w:rFonts w:eastAsia="Calibri" w:cs="Arial"/>
        </w:rPr>
        <w:t>r</w:t>
      </w:r>
      <w:r w:rsidRPr="00F36EDB">
        <w:rPr>
          <w:rFonts w:eastAsia="Calibri" w:cs="Arial"/>
        </w:rPr>
        <w:t xml:space="preserve"> el medicamento sin costo alguno. Para ello es necesario, contar con las infraestructuras apropiadas de acuerdo a los manuales de habilitación para unidades proveedoras de servicios de salud</w:t>
      </w:r>
      <w:r w:rsidR="00BF4002" w:rsidRPr="00F36EDB">
        <w:rPr>
          <w:rFonts w:eastAsia="Calibri" w:cs="Arial"/>
        </w:rPr>
        <w:t>.</w:t>
      </w:r>
    </w:p>
    <w:p w:rsidR="00A924F8" w:rsidRPr="00F36EDB" w:rsidRDefault="00151116" w:rsidP="00151116">
      <w:pPr>
        <w:jc w:val="both"/>
      </w:pPr>
      <w:r w:rsidRPr="00F36EDB">
        <w:lastRenderedPageBreak/>
        <w:t>Para dar respuesta a dichas problemáticas</w:t>
      </w:r>
      <w:r w:rsidR="00FC513F" w:rsidRPr="00F36EDB">
        <w:t>,</w:t>
      </w:r>
      <w:r w:rsidRPr="00F36EDB">
        <w:t xml:space="preserve"> las in</w:t>
      </w:r>
      <w:r w:rsidR="00FC513F" w:rsidRPr="00F36EDB">
        <w:t>stituciones involucradas deben</w:t>
      </w:r>
      <w:r w:rsidRPr="00F36EDB">
        <w:t xml:space="preserve"> interpretar las causas de est</w:t>
      </w:r>
      <w:r w:rsidR="00FC513F" w:rsidRPr="00F36EDB">
        <w:t xml:space="preserve">a situación y buscar soluciones a través de </w:t>
      </w:r>
      <w:r w:rsidRPr="00F36EDB">
        <w:t>un equipo técnico de planificación. Se espera</w:t>
      </w:r>
      <w:r w:rsidR="00FC513F" w:rsidRPr="00F36EDB">
        <w:t>,</w:t>
      </w:r>
      <w:r w:rsidRPr="00F36EDB">
        <w:t xml:space="preserve"> que este equipo pueda diseñar alguna iniciativa concreta de desarrollo</w:t>
      </w:r>
      <w:r w:rsidR="00FC513F" w:rsidRPr="00F36EDB">
        <w:t xml:space="preserve"> para ayudar a</w:t>
      </w:r>
      <w:r w:rsidRPr="00F36EDB">
        <w:t xml:space="preserve"> mejorar las condiciones de v</w:t>
      </w:r>
      <w:r w:rsidR="00FC513F" w:rsidRPr="00F36EDB">
        <w:t>ida de los habitantes</w:t>
      </w:r>
      <w:r w:rsidRPr="00F36EDB">
        <w:t>, reduciendo la situación de tensión que actualmente se vive a</w:t>
      </w:r>
      <w:r w:rsidR="00150837" w:rsidRPr="00F36EDB">
        <w:t>nte la entrega de servicios de s</w:t>
      </w:r>
      <w:r w:rsidRPr="00F36EDB">
        <w:t>alud y pueda diseñar una intervención favorecedo</w:t>
      </w:r>
      <w:r w:rsidR="00D37A19" w:rsidRPr="00F36EDB">
        <w:t>ra para el municipio de Somoto.</w:t>
      </w:r>
    </w:p>
    <w:p w:rsidR="000D4EDA" w:rsidRPr="00F36EDB" w:rsidRDefault="000D4EDA" w:rsidP="00847FCD">
      <w:pPr>
        <w:jc w:val="both"/>
      </w:pPr>
    </w:p>
    <w:sectPr w:rsidR="000D4EDA" w:rsidRPr="00F36ED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0FC" w:rsidRDefault="006D70FC" w:rsidP="00C917F0">
      <w:pPr>
        <w:spacing w:after="0" w:line="240" w:lineRule="auto"/>
      </w:pPr>
      <w:r>
        <w:separator/>
      </w:r>
    </w:p>
  </w:endnote>
  <w:endnote w:type="continuationSeparator" w:id="0">
    <w:p w:rsidR="006D70FC" w:rsidRDefault="006D70FC" w:rsidP="00C9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165377"/>
      <w:docPartObj>
        <w:docPartGallery w:val="Page Numbers (Bottom of Page)"/>
        <w:docPartUnique/>
      </w:docPartObj>
    </w:sdtPr>
    <w:sdtEndPr/>
    <w:sdtContent>
      <w:p w:rsidR="00C917F0" w:rsidRDefault="00C917F0">
        <w:pPr>
          <w:pStyle w:val="Piedepgina"/>
          <w:jc w:val="right"/>
        </w:pPr>
        <w:r>
          <w:fldChar w:fldCharType="begin"/>
        </w:r>
        <w:r>
          <w:instrText>PAGE   \* MERGEFORMAT</w:instrText>
        </w:r>
        <w:r>
          <w:fldChar w:fldCharType="separate"/>
        </w:r>
        <w:r w:rsidR="00E62067" w:rsidRPr="00E62067">
          <w:rPr>
            <w:noProof/>
            <w:lang w:val="es-ES"/>
          </w:rPr>
          <w:t>4</w:t>
        </w:r>
        <w:r>
          <w:fldChar w:fldCharType="end"/>
        </w:r>
      </w:p>
    </w:sdtContent>
  </w:sdt>
  <w:p w:rsidR="00C917F0" w:rsidRDefault="00C917F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0FC" w:rsidRDefault="006D70FC" w:rsidP="00C917F0">
      <w:pPr>
        <w:spacing w:after="0" w:line="240" w:lineRule="auto"/>
      </w:pPr>
      <w:r>
        <w:separator/>
      </w:r>
    </w:p>
  </w:footnote>
  <w:footnote w:type="continuationSeparator" w:id="0">
    <w:p w:rsidR="006D70FC" w:rsidRDefault="006D70FC" w:rsidP="00C9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D7" w:rsidRDefault="00DD3BD7" w:rsidP="00DD3BD7">
    <w:pPr>
      <w:pStyle w:val="Encabezado"/>
      <w:jc w:val="center"/>
    </w:pPr>
    <w:r>
      <w:rPr>
        <w:noProof/>
        <w:lang w:eastAsia="es-NI"/>
      </w:rPr>
      <w:drawing>
        <wp:inline distT="0" distB="0" distL="0" distR="0" wp14:anchorId="4CA8007D" wp14:editId="6427927A">
          <wp:extent cx="4515502" cy="709487"/>
          <wp:effectExtent l="0" t="0" r="0" b="0"/>
          <wp:docPr id="2" name="0 Imagen" descr="topPapeleria_201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Papeleria_2017.wmf"/>
                  <pic:cNvPicPr/>
                </pic:nvPicPr>
                <pic:blipFill>
                  <a:blip r:embed="rId1"/>
                  <a:stretch>
                    <a:fillRect/>
                  </a:stretch>
                </pic:blipFill>
                <pic:spPr>
                  <a:xfrm>
                    <a:off x="0" y="0"/>
                    <a:ext cx="4577330" cy="719202"/>
                  </a:xfrm>
                  <a:prstGeom prst="rect">
                    <a:avLst/>
                  </a:prstGeom>
                </pic:spPr>
              </pic:pic>
            </a:graphicData>
          </a:graphic>
        </wp:inline>
      </w:drawing>
    </w:r>
  </w:p>
  <w:p w:rsidR="00C917F0" w:rsidRDefault="00C917F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32A7A"/>
    <w:multiLevelType w:val="hybridMultilevel"/>
    <w:tmpl w:val="A4363B66"/>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56"/>
    <w:rsid w:val="00046110"/>
    <w:rsid w:val="000526EF"/>
    <w:rsid w:val="000A2C95"/>
    <w:rsid w:val="000D4EDA"/>
    <w:rsid w:val="000E2BB7"/>
    <w:rsid w:val="000F259E"/>
    <w:rsid w:val="00150837"/>
    <w:rsid w:val="00151116"/>
    <w:rsid w:val="00331E7F"/>
    <w:rsid w:val="0052425C"/>
    <w:rsid w:val="0054589A"/>
    <w:rsid w:val="005A3656"/>
    <w:rsid w:val="006D70FC"/>
    <w:rsid w:val="0073142B"/>
    <w:rsid w:val="00740761"/>
    <w:rsid w:val="007F56A6"/>
    <w:rsid w:val="00804241"/>
    <w:rsid w:val="00833B39"/>
    <w:rsid w:val="00847FCD"/>
    <w:rsid w:val="00876450"/>
    <w:rsid w:val="008A2792"/>
    <w:rsid w:val="008B0A37"/>
    <w:rsid w:val="008B5AA1"/>
    <w:rsid w:val="008F27B6"/>
    <w:rsid w:val="00933E5E"/>
    <w:rsid w:val="009A0705"/>
    <w:rsid w:val="009A1BCA"/>
    <w:rsid w:val="00A23CAE"/>
    <w:rsid w:val="00A40843"/>
    <w:rsid w:val="00A924F8"/>
    <w:rsid w:val="00AF3EDF"/>
    <w:rsid w:val="00B77360"/>
    <w:rsid w:val="00B80832"/>
    <w:rsid w:val="00BA0979"/>
    <w:rsid w:val="00BF4002"/>
    <w:rsid w:val="00C917F0"/>
    <w:rsid w:val="00D11C5C"/>
    <w:rsid w:val="00D37A19"/>
    <w:rsid w:val="00D8779F"/>
    <w:rsid w:val="00DD1E75"/>
    <w:rsid w:val="00DD3BD7"/>
    <w:rsid w:val="00E62067"/>
    <w:rsid w:val="00EC2AED"/>
    <w:rsid w:val="00EC5CB6"/>
    <w:rsid w:val="00F36EDB"/>
    <w:rsid w:val="00F97468"/>
    <w:rsid w:val="00FB6A23"/>
    <w:rsid w:val="00FC513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03D1"/>
  <w15:chartTrackingRefBased/>
  <w15:docId w15:val="{D4F804BD-B241-453B-8DF5-6F5F51EF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3E5E"/>
  </w:style>
  <w:style w:type="paragraph" w:styleId="Prrafodelista">
    <w:name w:val="List Paragraph"/>
    <w:basedOn w:val="Normal"/>
    <w:uiPriority w:val="34"/>
    <w:qFormat/>
    <w:rsid w:val="000D4EDA"/>
    <w:pPr>
      <w:ind w:left="720"/>
      <w:contextualSpacing/>
    </w:pPr>
  </w:style>
  <w:style w:type="paragraph" w:styleId="Textodeglobo">
    <w:name w:val="Balloon Text"/>
    <w:basedOn w:val="Normal"/>
    <w:link w:val="TextodegloboCar"/>
    <w:uiPriority w:val="99"/>
    <w:semiHidden/>
    <w:unhideWhenUsed/>
    <w:rsid w:val="008B0A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A37"/>
    <w:rPr>
      <w:rFonts w:ascii="Segoe UI" w:hAnsi="Segoe UI" w:cs="Segoe UI"/>
      <w:sz w:val="18"/>
      <w:szCs w:val="18"/>
    </w:rPr>
  </w:style>
  <w:style w:type="table" w:styleId="Tablaconcuadrcula">
    <w:name w:val="Table Grid"/>
    <w:basedOn w:val="Tablanormal"/>
    <w:uiPriority w:val="39"/>
    <w:rsid w:val="0005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0526E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0526E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0526E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B773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C917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7F0"/>
  </w:style>
  <w:style w:type="paragraph" w:styleId="Piedepgina">
    <w:name w:val="footer"/>
    <w:basedOn w:val="Normal"/>
    <w:link w:val="PiedepginaCar"/>
    <w:uiPriority w:val="99"/>
    <w:unhideWhenUsed/>
    <w:rsid w:val="00C917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7F0"/>
  </w:style>
  <w:style w:type="character" w:customStyle="1" w:styleId="Textodemarcadordeposicin">
    <w:name w:val="Texto de marcador de posición"/>
    <w:basedOn w:val="Fuentedeprrafopredeter"/>
    <w:uiPriority w:val="99"/>
    <w:semiHidden/>
    <w:rsid w:val="00C917F0"/>
    <w:rPr>
      <w:color w:val="808080"/>
    </w:rPr>
  </w:style>
  <w:style w:type="paragraph" w:styleId="Ttulo">
    <w:name w:val="Title"/>
    <w:basedOn w:val="Normal"/>
    <w:link w:val="TtuloCar"/>
    <w:uiPriority w:val="99"/>
    <w:qFormat/>
    <w:rsid w:val="00DD3BD7"/>
    <w:pPr>
      <w:spacing w:after="0" w:line="240" w:lineRule="auto"/>
      <w:ind w:left="960" w:hanging="960"/>
      <w:jc w:val="center"/>
    </w:pPr>
    <w:rPr>
      <w:rFonts w:ascii="Times New Roman" w:eastAsia="Times New Roman" w:hAnsi="Times New Roman" w:cs="Times New Roman"/>
      <w:b/>
      <w:sz w:val="24"/>
      <w:szCs w:val="24"/>
      <w:lang w:val="es-ES" w:eastAsia="es-ES"/>
    </w:rPr>
  </w:style>
  <w:style w:type="character" w:customStyle="1" w:styleId="TtuloCar">
    <w:name w:val="Título Car"/>
    <w:basedOn w:val="Fuentedeprrafopredeter"/>
    <w:link w:val="Ttulo"/>
    <w:uiPriority w:val="99"/>
    <w:rsid w:val="00DD3BD7"/>
    <w:rPr>
      <w:rFonts w:ascii="Times New Roman" w:eastAsia="Times New Roman" w:hAnsi="Times New Roman" w:cs="Times New Roman"/>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2592">
      <w:bodyDiv w:val="1"/>
      <w:marLeft w:val="0"/>
      <w:marRight w:val="0"/>
      <w:marTop w:val="0"/>
      <w:marBottom w:val="0"/>
      <w:divBdr>
        <w:top w:val="none" w:sz="0" w:space="0" w:color="auto"/>
        <w:left w:val="none" w:sz="0" w:space="0" w:color="auto"/>
        <w:bottom w:val="none" w:sz="0" w:space="0" w:color="auto"/>
        <w:right w:val="none" w:sz="0" w:space="0" w:color="auto"/>
      </w:divBdr>
    </w:div>
    <w:div w:id="812218006">
      <w:bodyDiv w:val="1"/>
      <w:marLeft w:val="0"/>
      <w:marRight w:val="0"/>
      <w:marTop w:val="0"/>
      <w:marBottom w:val="0"/>
      <w:divBdr>
        <w:top w:val="none" w:sz="0" w:space="0" w:color="auto"/>
        <w:left w:val="none" w:sz="0" w:space="0" w:color="auto"/>
        <w:bottom w:val="none" w:sz="0" w:space="0" w:color="auto"/>
        <w:right w:val="none" w:sz="0" w:space="0" w:color="auto"/>
      </w:divBdr>
    </w:div>
    <w:div w:id="978413467">
      <w:bodyDiv w:val="1"/>
      <w:marLeft w:val="0"/>
      <w:marRight w:val="0"/>
      <w:marTop w:val="0"/>
      <w:marBottom w:val="0"/>
      <w:divBdr>
        <w:top w:val="none" w:sz="0" w:space="0" w:color="auto"/>
        <w:left w:val="none" w:sz="0" w:space="0" w:color="auto"/>
        <w:bottom w:val="none" w:sz="0" w:space="0" w:color="auto"/>
        <w:right w:val="none" w:sz="0" w:space="0" w:color="auto"/>
      </w:divBdr>
    </w:div>
    <w:div w:id="1020013144">
      <w:bodyDiv w:val="1"/>
      <w:marLeft w:val="0"/>
      <w:marRight w:val="0"/>
      <w:marTop w:val="0"/>
      <w:marBottom w:val="0"/>
      <w:divBdr>
        <w:top w:val="none" w:sz="0" w:space="0" w:color="auto"/>
        <w:left w:val="none" w:sz="0" w:space="0" w:color="auto"/>
        <w:bottom w:val="none" w:sz="0" w:space="0" w:color="auto"/>
        <w:right w:val="none" w:sz="0" w:space="0" w:color="auto"/>
      </w:divBdr>
    </w:div>
    <w:div w:id="1152672071">
      <w:bodyDiv w:val="1"/>
      <w:marLeft w:val="0"/>
      <w:marRight w:val="0"/>
      <w:marTop w:val="0"/>
      <w:marBottom w:val="0"/>
      <w:divBdr>
        <w:top w:val="none" w:sz="0" w:space="0" w:color="auto"/>
        <w:left w:val="none" w:sz="0" w:space="0" w:color="auto"/>
        <w:bottom w:val="none" w:sz="0" w:space="0" w:color="auto"/>
        <w:right w:val="none" w:sz="0" w:space="0" w:color="auto"/>
      </w:divBdr>
    </w:div>
    <w:div w:id="1461921098">
      <w:bodyDiv w:val="1"/>
      <w:marLeft w:val="0"/>
      <w:marRight w:val="0"/>
      <w:marTop w:val="0"/>
      <w:marBottom w:val="0"/>
      <w:divBdr>
        <w:top w:val="none" w:sz="0" w:space="0" w:color="auto"/>
        <w:left w:val="none" w:sz="0" w:space="0" w:color="auto"/>
        <w:bottom w:val="none" w:sz="0" w:space="0" w:color="auto"/>
        <w:right w:val="none" w:sz="0" w:space="0" w:color="auto"/>
      </w:divBdr>
    </w:div>
    <w:div w:id="1547447302">
      <w:bodyDiv w:val="1"/>
      <w:marLeft w:val="0"/>
      <w:marRight w:val="0"/>
      <w:marTop w:val="0"/>
      <w:marBottom w:val="0"/>
      <w:divBdr>
        <w:top w:val="none" w:sz="0" w:space="0" w:color="auto"/>
        <w:left w:val="none" w:sz="0" w:space="0" w:color="auto"/>
        <w:bottom w:val="none" w:sz="0" w:space="0" w:color="auto"/>
        <w:right w:val="none" w:sz="0" w:space="0" w:color="auto"/>
      </w:divBdr>
    </w:div>
    <w:div w:id="174452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ata\PREINVERSION\METODOLOGIAS\Datos%20Estudio%20de%20cas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a:t>Población por Rango de Edades </a:t>
            </a:r>
          </a:p>
          <a:p>
            <a:pPr>
              <a:defRPr sz="900"/>
            </a:pPr>
            <a:r>
              <a:rPr lang="en-US" sz="900"/>
              <a:t>Año 2014-2016</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NI"/>
        </a:p>
      </c:txPr>
    </c:title>
    <c:autoTitleDeleted val="0"/>
    <c:plotArea>
      <c:layout>
        <c:manualLayout>
          <c:layoutTarget val="inner"/>
          <c:xMode val="edge"/>
          <c:yMode val="edge"/>
          <c:x val="2.0100502512562814E-2"/>
          <c:y val="0.21535824477202606"/>
          <c:w val="0.93567839195979896"/>
          <c:h val="0.54416602107115764"/>
        </c:manualLayout>
      </c:layout>
      <c:barChart>
        <c:barDir val="col"/>
        <c:grouping val="percentStacked"/>
        <c:varyColors val="0"/>
        <c:ser>
          <c:idx val="0"/>
          <c:order val="0"/>
          <c:tx>
            <c:strRef>
              <c:f>Hoja2!$A$31</c:f>
              <c:strCache>
                <c:ptCount val="1"/>
                <c:pt idx="0">
                  <c:v>0-14</c:v>
                </c:pt>
              </c:strCache>
            </c:strRef>
          </c:tx>
          <c:spPr>
            <a:gradFill rotWithShape="1">
              <a:gsLst>
                <a:gs pos="0">
                  <a:schemeClr val="accent3">
                    <a:tint val="54000"/>
                    <a:satMod val="103000"/>
                    <a:lumMod val="102000"/>
                    <a:tint val="94000"/>
                  </a:schemeClr>
                </a:gs>
                <a:gs pos="50000">
                  <a:schemeClr val="accent3">
                    <a:tint val="54000"/>
                    <a:satMod val="110000"/>
                    <a:lumMod val="100000"/>
                    <a:shade val="100000"/>
                  </a:schemeClr>
                </a:gs>
                <a:gs pos="100000">
                  <a:schemeClr val="accent3">
                    <a:tint val="54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N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Hoja2!$B$30:$H$30</c:f>
              <c:numCache>
                <c:formatCode>General</c:formatCode>
                <c:ptCount val="3"/>
                <c:pt idx="0">
                  <c:v>2014</c:v>
                </c:pt>
                <c:pt idx="1">
                  <c:v>2015</c:v>
                </c:pt>
                <c:pt idx="2" formatCode="#,##0">
                  <c:v>2016</c:v>
                </c:pt>
              </c:numCache>
            </c:numRef>
          </c:cat>
          <c:val>
            <c:numRef>
              <c:f>Hoja2!$B$31:$H$31</c:f>
              <c:numCache>
                <c:formatCode>0</c:formatCode>
                <c:ptCount val="3"/>
                <c:pt idx="0">
                  <c:v>33.800872630463189</c:v>
                </c:pt>
                <c:pt idx="1">
                  <c:v>21.638600678008963</c:v>
                </c:pt>
                <c:pt idx="2">
                  <c:v>21.52121735223524</c:v>
                </c:pt>
              </c:numCache>
            </c:numRef>
          </c:val>
          <c:extLst>
            <c:ext xmlns:c16="http://schemas.microsoft.com/office/drawing/2014/chart" uri="{C3380CC4-5D6E-409C-BE32-E72D297353CC}">
              <c16:uniqueId val="{00000000-F6C3-49A8-945C-C9413C05C3CC}"/>
            </c:ext>
          </c:extLst>
        </c:ser>
        <c:ser>
          <c:idx val="1"/>
          <c:order val="1"/>
          <c:tx>
            <c:strRef>
              <c:f>Hoja2!$A$32</c:f>
              <c:strCache>
                <c:ptCount val="1"/>
                <c:pt idx="0">
                  <c:v>15-34</c:v>
                </c:pt>
              </c:strCache>
            </c:strRef>
          </c:tx>
          <c:spPr>
            <a:gradFill rotWithShape="1">
              <a:gsLst>
                <a:gs pos="0">
                  <a:schemeClr val="accent3">
                    <a:tint val="77000"/>
                    <a:satMod val="103000"/>
                    <a:lumMod val="102000"/>
                    <a:tint val="94000"/>
                  </a:schemeClr>
                </a:gs>
                <a:gs pos="50000">
                  <a:schemeClr val="accent3">
                    <a:tint val="77000"/>
                    <a:satMod val="110000"/>
                    <a:lumMod val="100000"/>
                    <a:shade val="100000"/>
                  </a:schemeClr>
                </a:gs>
                <a:gs pos="100000">
                  <a:schemeClr val="accent3">
                    <a:tint val="77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N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Hoja2!$B$30:$H$30</c:f>
              <c:numCache>
                <c:formatCode>General</c:formatCode>
                <c:ptCount val="3"/>
                <c:pt idx="0">
                  <c:v>2014</c:v>
                </c:pt>
                <c:pt idx="1">
                  <c:v>2015</c:v>
                </c:pt>
                <c:pt idx="2" formatCode="#,##0">
                  <c:v>2016</c:v>
                </c:pt>
              </c:numCache>
            </c:numRef>
          </c:cat>
          <c:val>
            <c:numRef>
              <c:f>Hoja2!$B$32:$H$32</c:f>
              <c:numCache>
                <c:formatCode>0</c:formatCode>
                <c:ptCount val="3"/>
                <c:pt idx="0">
                  <c:v>37.524958710281759</c:v>
                </c:pt>
                <c:pt idx="1">
                  <c:v>21.31421527179625</c:v>
                </c:pt>
                <c:pt idx="2">
                  <c:v>21.211046344356816</c:v>
                </c:pt>
              </c:numCache>
            </c:numRef>
          </c:val>
          <c:extLst>
            <c:ext xmlns:c16="http://schemas.microsoft.com/office/drawing/2014/chart" uri="{C3380CC4-5D6E-409C-BE32-E72D297353CC}">
              <c16:uniqueId val="{00000001-F6C3-49A8-945C-C9413C05C3CC}"/>
            </c:ext>
          </c:extLst>
        </c:ser>
        <c:ser>
          <c:idx val="2"/>
          <c:order val="2"/>
          <c:tx>
            <c:strRef>
              <c:f>Hoja2!$A$33</c:f>
              <c:strCache>
                <c:ptCount val="1"/>
                <c:pt idx="0">
                  <c:v>35-59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N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Hoja2!$B$30:$H$30</c:f>
              <c:numCache>
                <c:formatCode>General</c:formatCode>
                <c:ptCount val="3"/>
                <c:pt idx="0">
                  <c:v>2014</c:v>
                </c:pt>
                <c:pt idx="1">
                  <c:v>2015</c:v>
                </c:pt>
                <c:pt idx="2" formatCode="#,##0">
                  <c:v>2016</c:v>
                </c:pt>
              </c:numCache>
            </c:numRef>
          </c:cat>
          <c:val>
            <c:numRef>
              <c:f>Hoja2!$B$33:$H$33</c:f>
              <c:numCache>
                <c:formatCode>0</c:formatCode>
                <c:ptCount val="3"/>
                <c:pt idx="0">
                  <c:v>21.633347301994231</c:v>
                </c:pt>
                <c:pt idx="1">
                  <c:v>20.709301682378879</c:v>
                </c:pt>
                <c:pt idx="2">
                  <c:v>20.636422037512165</c:v>
                </c:pt>
              </c:numCache>
            </c:numRef>
          </c:val>
          <c:extLst>
            <c:ext xmlns:c16="http://schemas.microsoft.com/office/drawing/2014/chart" uri="{C3380CC4-5D6E-409C-BE32-E72D297353CC}">
              <c16:uniqueId val="{00000002-F6C3-49A8-945C-C9413C05C3CC}"/>
            </c:ext>
          </c:extLst>
        </c:ser>
        <c:ser>
          <c:idx val="3"/>
          <c:order val="3"/>
          <c:tx>
            <c:strRef>
              <c:f>Hoja2!$A$34</c:f>
              <c:strCache>
                <c:ptCount val="1"/>
                <c:pt idx="0">
                  <c:v>60-79</c:v>
                </c:pt>
              </c:strCache>
            </c:strRef>
          </c:tx>
          <c:spPr>
            <a:gradFill rotWithShape="1">
              <a:gsLst>
                <a:gs pos="0">
                  <a:schemeClr val="accent3">
                    <a:shade val="76000"/>
                    <a:satMod val="103000"/>
                    <a:lumMod val="102000"/>
                    <a:tint val="94000"/>
                  </a:schemeClr>
                </a:gs>
                <a:gs pos="50000">
                  <a:schemeClr val="accent3">
                    <a:shade val="76000"/>
                    <a:satMod val="110000"/>
                    <a:lumMod val="100000"/>
                    <a:shade val="100000"/>
                  </a:schemeClr>
                </a:gs>
                <a:gs pos="100000">
                  <a:schemeClr val="accent3">
                    <a:shade val="76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N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Hoja2!$B$30:$H$30</c:f>
              <c:numCache>
                <c:formatCode>General</c:formatCode>
                <c:ptCount val="3"/>
                <c:pt idx="0">
                  <c:v>2014</c:v>
                </c:pt>
                <c:pt idx="1">
                  <c:v>2015</c:v>
                </c:pt>
                <c:pt idx="2" formatCode="#,##0">
                  <c:v>2016</c:v>
                </c:pt>
              </c:numCache>
            </c:numRef>
          </c:cat>
          <c:val>
            <c:numRef>
              <c:f>Hoja2!$B$34:$H$34</c:f>
              <c:numCache>
                <c:formatCode>0</c:formatCode>
                <c:ptCount val="3"/>
                <c:pt idx="0">
                  <c:v>6.1342963492493903</c:v>
                </c:pt>
                <c:pt idx="1">
                  <c:v>19.062877824049561</c:v>
                </c:pt>
                <c:pt idx="2">
                  <c:v>19.178973006845833</c:v>
                </c:pt>
              </c:numCache>
            </c:numRef>
          </c:val>
          <c:extLst>
            <c:ext xmlns:c16="http://schemas.microsoft.com/office/drawing/2014/chart" uri="{C3380CC4-5D6E-409C-BE32-E72D297353CC}">
              <c16:uniqueId val="{00000003-F6C3-49A8-945C-C9413C05C3CC}"/>
            </c:ext>
          </c:extLst>
        </c:ser>
        <c:ser>
          <c:idx val="4"/>
          <c:order val="4"/>
          <c:tx>
            <c:strRef>
              <c:f>Hoja2!$A$35</c:f>
              <c:strCache>
                <c:ptCount val="1"/>
                <c:pt idx="0">
                  <c:v>80 a +</c:v>
                </c:pt>
              </c:strCache>
            </c:strRef>
          </c:tx>
          <c:spPr>
            <a:gradFill rotWithShape="1">
              <a:gsLst>
                <a:gs pos="0">
                  <a:schemeClr val="accent3">
                    <a:shade val="53000"/>
                    <a:satMod val="103000"/>
                    <a:lumMod val="102000"/>
                    <a:tint val="94000"/>
                  </a:schemeClr>
                </a:gs>
                <a:gs pos="50000">
                  <a:schemeClr val="accent3">
                    <a:shade val="53000"/>
                    <a:satMod val="110000"/>
                    <a:lumMod val="100000"/>
                    <a:shade val="100000"/>
                  </a:schemeClr>
                </a:gs>
                <a:gs pos="100000">
                  <a:schemeClr val="accent3">
                    <a:shade val="53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N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Hoja2!$B$30:$H$30</c:f>
              <c:numCache>
                <c:formatCode>General</c:formatCode>
                <c:ptCount val="3"/>
                <c:pt idx="0">
                  <c:v>2014</c:v>
                </c:pt>
                <c:pt idx="1">
                  <c:v>2015</c:v>
                </c:pt>
                <c:pt idx="2" formatCode="#,##0">
                  <c:v>2016</c:v>
                </c:pt>
              </c:numCache>
            </c:numRef>
          </c:cat>
          <c:val>
            <c:numRef>
              <c:f>Hoja2!$B$35:$H$35</c:f>
              <c:numCache>
                <c:formatCode>0</c:formatCode>
                <c:ptCount val="3"/>
                <c:pt idx="0">
                  <c:v>0.90652500801143787</c:v>
                </c:pt>
                <c:pt idx="1">
                  <c:v>17</c:v>
                </c:pt>
                <c:pt idx="2">
                  <c:v>17</c:v>
                </c:pt>
              </c:numCache>
            </c:numRef>
          </c:val>
          <c:extLst>
            <c:ext xmlns:c16="http://schemas.microsoft.com/office/drawing/2014/chart" uri="{C3380CC4-5D6E-409C-BE32-E72D297353CC}">
              <c16:uniqueId val="{00000004-F6C3-49A8-945C-C9413C05C3CC}"/>
            </c:ext>
          </c:extLst>
        </c:ser>
        <c:dLbls>
          <c:dLblPos val="ctr"/>
          <c:showLegendKey val="0"/>
          <c:showVal val="1"/>
          <c:showCatName val="0"/>
          <c:showSerName val="0"/>
          <c:showPercent val="0"/>
          <c:showBubbleSize val="0"/>
        </c:dLbls>
        <c:gapWidth val="150"/>
        <c:overlap val="100"/>
        <c:axId val="443352080"/>
        <c:axId val="378141120"/>
      </c:barChart>
      <c:catAx>
        <c:axId val="443352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NI"/>
          </a:p>
        </c:txPr>
        <c:crossAx val="378141120"/>
        <c:crosses val="autoZero"/>
        <c:auto val="1"/>
        <c:lblAlgn val="ctr"/>
        <c:lblOffset val="100"/>
        <c:noMultiLvlLbl val="0"/>
      </c:catAx>
      <c:valAx>
        <c:axId val="37814112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NI"/>
          </a:p>
        </c:txPr>
        <c:crossAx val="44335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NI"/>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N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b="1"/>
              <a:t>Tasa de Mortalidad Madriz por comunidades</a:t>
            </a:r>
          </a:p>
          <a:p>
            <a:pPr>
              <a:defRPr sz="1000" b="1"/>
            </a:pPr>
            <a:r>
              <a:rPr lang="en-US" sz="1000" b="1"/>
              <a:t> Año 2015</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s-NI"/>
        </a:p>
      </c:txPr>
    </c:title>
    <c:autoTitleDeleted val="0"/>
    <c:plotArea>
      <c:layout/>
      <c:barChart>
        <c:barDir val="col"/>
        <c:grouping val="stack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N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Hoja1!$A$3:$A$11</c:f>
              <c:strCache>
                <c:ptCount val="9"/>
                <c:pt idx="0">
                  <c:v>Somoto</c:v>
                </c:pt>
                <c:pt idx="1">
                  <c:v>Yalaguina</c:v>
                </c:pt>
                <c:pt idx="2">
                  <c:v>Palacaguina</c:v>
                </c:pt>
                <c:pt idx="3">
                  <c:v>San Lucas</c:v>
                </c:pt>
                <c:pt idx="4">
                  <c:v>San José de Cusmapa</c:v>
                </c:pt>
                <c:pt idx="5">
                  <c:v>Totogalpa</c:v>
                </c:pt>
                <c:pt idx="6">
                  <c:v>Telpaneca</c:v>
                </c:pt>
                <c:pt idx="7">
                  <c:v>Las Sabanas</c:v>
                </c:pt>
                <c:pt idx="8">
                  <c:v>San Juan del Río Coco</c:v>
                </c:pt>
              </c:strCache>
            </c:strRef>
          </c:cat>
          <c:val>
            <c:numRef>
              <c:f>Hoja1!$B$3:$B$11</c:f>
              <c:numCache>
                <c:formatCode>General</c:formatCode>
                <c:ptCount val="9"/>
                <c:pt idx="0">
                  <c:v>25</c:v>
                </c:pt>
                <c:pt idx="1">
                  <c:v>30.3</c:v>
                </c:pt>
                <c:pt idx="2">
                  <c:v>31.7</c:v>
                </c:pt>
                <c:pt idx="3">
                  <c:v>34.200000000000003</c:v>
                </c:pt>
                <c:pt idx="4">
                  <c:v>37.299999999999997</c:v>
                </c:pt>
                <c:pt idx="5">
                  <c:v>37.9</c:v>
                </c:pt>
                <c:pt idx="6">
                  <c:v>42.1</c:v>
                </c:pt>
                <c:pt idx="7">
                  <c:v>44.4</c:v>
                </c:pt>
                <c:pt idx="8">
                  <c:v>45.3</c:v>
                </c:pt>
              </c:numCache>
            </c:numRef>
          </c:val>
          <c:extLst>
            <c:ext xmlns:c16="http://schemas.microsoft.com/office/drawing/2014/chart" uri="{C3380CC4-5D6E-409C-BE32-E72D297353CC}">
              <c16:uniqueId val="{00000000-F333-4848-9861-B0BCA6C11BE4}"/>
            </c:ext>
          </c:extLst>
        </c:ser>
        <c:dLbls>
          <c:showLegendKey val="0"/>
          <c:showVal val="0"/>
          <c:showCatName val="0"/>
          <c:showSerName val="0"/>
          <c:showPercent val="0"/>
          <c:showBubbleSize val="0"/>
        </c:dLbls>
        <c:gapWidth val="150"/>
        <c:overlap val="100"/>
        <c:axId val="496359872"/>
        <c:axId val="496366528"/>
      </c:barChart>
      <c:catAx>
        <c:axId val="49635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NI"/>
          </a:p>
        </c:txPr>
        <c:crossAx val="496366528"/>
        <c:crosses val="autoZero"/>
        <c:auto val="1"/>
        <c:lblAlgn val="ctr"/>
        <c:lblOffset val="100"/>
        <c:noMultiLvlLbl val="0"/>
      </c:catAx>
      <c:valAx>
        <c:axId val="496366528"/>
        <c:scaling>
          <c:orientation val="minMax"/>
        </c:scaling>
        <c:delete val="1"/>
        <c:axPos val="l"/>
        <c:numFmt formatCode="General" sourceLinked="1"/>
        <c:majorTickMark val="none"/>
        <c:minorTickMark val="none"/>
        <c:tickLblPos val="nextTo"/>
        <c:crossAx val="496359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NI"/>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DC"/>
    <w:rsid w:val="001A6BAF"/>
    <w:rsid w:val="005B4231"/>
    <w:rsid w:val="00703EDC"/>
    <w:rsid w:val="0076584C"/>
    <w:rsid w:val="00C60690"/>
    <w:rsid w:val="00E374B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NI" w:eastAsia="es-N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703EDC"/>
    <w:rPr>
      <w:color w:val="808080"/>
    </w:rPr>
  </w:style>
  <w:style w:type="paragraph" w:customStyle="1" w:styleId="B0D8109C94F549ECA6249F4AB521E6D7">
    <w:name w:val="B0D8109C94F549ECA6249F4AB521E6D7"/>
    <w:rsid w:val="00703EDC"/>
  </w:style>
  <w:style w:type="paragraph" w:customStyle="1" w:styleId="1532CC1FE93A4AF4950B975280D91248">
    <w:name w:val="1532CC1FE93A4AF4950B975280D91248"/>
    <w:rsid w:val="00703EDC"/>
  </w:style>
  <w:style w:type="paragraph" w:customStyle="1" w:styleId="6EE43B44CEC34165BECA3EDD35CE1D84">
    <w:name w:val="6EE43B44CEC34165BECA3EDD35CE1D84"/>
    <w:rsid w:val="00703EDC"/>
  </w:style>
  <w:style w:type="paragraph" w:customStyle="1" w:styleId="DF366BE8D3B74E64A8CBA91071C240FB">
    <w:name w:val="DF366BE8D3B74E64A8CBA91071C240FB"/>
    <w:rsid w:val="00703EDC"/>
  </w:style>
  <w:style w:type="paragraph" w:customStyle="1" w:styleId="16918203A7624864A90D3213F4862D24">
    <w:name w:val="16918203A7624864A90D3213F4862D24"/>
    <w:rsid w:val="001A6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2017-03-31T00:00:00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6634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Seminario Perfiles de Proyecto</vt:lpstr>
    </vt:vector>
  </TitlesOfParts>
  <Company>Hewlett-Packard Company</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erfiles de Proyecto</dc:title>
  <dc:subject/>
  <dc:creator>DGIP</dc:creator>
  <cp:keywords/>
  <dc:description/>
  <cp:lastModifiedBy>Cristel López Calderón</cp:lastModifiedBy>
  <cp:revision>3</cp:revision>
  <cp:lastPrinted>2017-03-29T16:16:00Z</cp:lastPrinted>
  <dcterms:created xsi:type="dcterms:W3CDTF">2017-03-30T23:37:00Z</dcterms:created>
  <dcterms:modified xsi:type="dcterms:W3CDTF">2017-03-30T23:38:00Z</dcterms:modified>
</cp:coreProperties>
</file>